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-325347</wp:posOffset>
            </wp:positionV>
            <wp:extent cx="1095375" cy="338682"/>
            <wp:effectExtent l="0" t="0" r="0" b="4445"/>
            <wp:wrapNone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79" cy="33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wiss721BT-Bold" w:hAnsi="Swiss721BT-Bold" w:cs="Swiss721BT-Bold"/>
          <w:b/>
          <w:bCs/>
          <w:color w:val="000000"/>
          <w:sz w:val="20"/>
          <w:szCs w:val="20"/>
        </w:rPr>
        <w:t>-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000000"/>
          <w:sz w:val="24"/>
          <w:szCs w:val="24"/>
        </w:rPr>
      </w:pPr>
      <w:r>
        <w:rPr>
          <w:rFonts w:ascii="Swiss721BT-Bold" w:hAnsi="Swiss721BT-Bold" w:cs="Swiss721BT-Bold"/>
          <w:b/>
          <w:bCs/>
          <w:color w:val="000000"/>
          <w:sz w:val="24"/>
          <w:szCs w:val="24"/>
        </w:rPr>
        <w:t>GHOSTBUNKER</w:t>
      </w:r>
      <w:bookmarkStart w:id="0" w:name="_GoBack"/>
      <w:bookmarkEnd w:id="0"/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000000"/>
          <w:sz w:val="24"/>
          <w:szCs w:val="24"/>
        </w:rPr>
      </w:pP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000000"/>
          <w:sz w:val="24"/>
          <w:szCs w:val="24"/>
        </w:rPr>
      </w:pP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Nos productions sont directement issues de leur environnement. Elles sont index, empreinte,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sample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Ghostbunker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projet de surélévation d’un blockhaus est « l’icône » de cette démarche.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Lorsque nous avons formé BLOCK en 2000, le sampler avait déjà révolutionné la musique et avait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bouleversé la manière de concevoir et de jouer de la musique pop. Au même moment, les outils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capture d’images, de post-production d’images et de 3D, internet,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étaient déjà très développés.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Ces outils changeaient notre façon de voir, de penser et donc de faire : l’échantillon - le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sample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participait d’un travail de sélection</w:t>
      </w:r>
      <w:r>
        <w:rPr>
          <w:rFonts w:ascii="Arial" w:hAnsi="Arial" w:cs="Arial"/>
          <w:color w:val="000000"/>
          <w:sz w:val="20"/>
          <w:szCs w:val="20"/>
        </w:rPr>
        <w:t> ; il</w:t>
      </w:r>
      <w:r>
        <w:rPr>
          <w:rFonts w:ascii="Arial" w:hAnsi="Arial" w:cs="Arial"/>
          <w:color w:val="000000"/>
          <w:sz w:val="20"/>
          <w:szCs w:val="20"/>
        </w:rPr>
        <w:t xml:space="preserve"> relevait de l’index, de la trace, du fantôme, créant ainsi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une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nouvelle esthétique. Nous pouvions faire de l’architecture en «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samplant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».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 d'abord abri anti-aérien lors de la Seconde Guerre Mondiale, puis plateforme très prisée de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contestation syndicale des chantiers navals dans les années 60-80, le blockhaus fut un temps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abandonné, avant d'être investi en 1995 par un petit groupe d'étudiants en architecture, dont nous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faisions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Il est, depuis la fin des années 90, occupé par ce groupe constitué en association-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Blockhaus DY10</w:t>
      </w:r>
      <w:r>
        <w:rPr>
          <w:rFonts w:ascii="Arial" w:hAnsi="Arial" w:cs="Arial"/>
          <w:color w:val="000000"/>
          <w:sz w:val="20"/>
          <w:szCs w:val="20"/>
        </w:rPr>
        <w:t>, faisant vivre cette masse abandonnée en un lieu d'activités expérimentales dédiées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 la création.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quatrième mutation est aujourd'hui en cours : passer de l'occupation précaire de ce lieu au statut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juridique et foncier complexe, à la pérennisation sociale et économique des activités qui y sont liées.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s’agit d'opérer ici, un véritable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sampling </w:t>
      </w:r>
      <w:r>
        <w:rPr>
          <w:rFonts w:ascii="Arial" w:hAnsi="Arial" w:cs="Arial"/>
          <w:color w:val="000000"/>
          <w:sz w:val="20"/>
          <w:szCs w:val="20"/>
        </w:rPr>
        <w:t>architectural et social.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 le registre du "fantôme", un squelette métallique et transparent duplique le gabarit du blockhaus 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vient se poser sur ce dernier. Les épaisses parois ceinturant le bunker sont percées et deviennent des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coursives périphériques qui desservent les étages du nouvel ensemble. Par sa position surélevée, 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double renforce l'idée de communauté d'artistes.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revenus locatifs de cette surélévation financent et pérennisent l’activité libre et indépendante du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lieu.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 long processus de transformation dépasse la simple expression architecturale et questionne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montage habituel de ce type d'opération, en reconsidérant les couples traditionnels « maîtrise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d’</w:t>
      </w:r>
      <w:r>
        <w:rPr>
          <w:rFonts w:ascii="Arial" w:hAnsi="Arial" w:cs="Arial"/>
          <w:color w:val="000000"/>
          <w:sz w:val="20"/>
          <w:szCs w:val="20"/>
        </w:rPr>
        <w:t>œuvre</w:t>
      </w:r>
      <w:r>
        <w:rPr>
          <w:rFonts w:ascii="Arial" w:hAnsi="Arial" w:cs="Arial"/>
          <w:color w:val="000000"/>
          <w:sz w:val="20"/>
          <w:szCs w:val="20"/>
        </w:rPr>
        <w:t>-maîtrise d’ouvrage / opérateur économique-opérateur social ».</w:t>
      </w:r>
    </w:p>
    <w:p w:rsid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7B3F" w:rsidRPr="00EC27C4" w:rsidRDefault="00EC27C4" w:rsidP="00EC2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Outre la nouvelle lecture matérielle qu'il suscite sur le territoire,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Ghostbunker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fabrique dans le paysage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urbain et politique de l’Île de Nantes, une nouvelle valeur d'usage social, qui pérennise un lieu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alternatif, un nouveau modèle architectural et économique </w:t>
      </w:r>
      <w:r>
        <w:rPr>
          <w:rFonts w:ascii="Arial" w:hAnsi="Arial" w:cs="Arial"/>
          <w:color w:val="222222"/>
          <w:sz w:val="20"/>
          <w:szCs w:val="20"/>
        </w:rPr>
        <w:t>basé sur l'autopromotion et l'autogestion.</w:t>
      </w:r>
    </w:p>
    <w:sectPr w:rsidR="00AE7B3F" w:rsidRPr="00EC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721B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4"/>
    <w:rsid w:val="00AE7B3F"/>
    <w:rsid w:val="00E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2F8F"/>
  <w15:chartTrackingRefBased/>
  <w15:docId w15:val="{3A7BC9ED-C3CA-44D2-9006-EBE5172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2019-10-22T07:22:00Z</dcterms:created>
  <dcterms:modified xsi:type="dcterms:W3CDTF">2019-10-22T07:28:00Z</dcterms:modified>
</cp:coreProperties>
</file>